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General agreement on tariffs and trade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rStyle w:val="Strong"/>
          <w:color w:val="222222"/>
        </w:rPr>
        <w:t>1.    The General Agreement on Tariffs and Trade 1994 ("GATT 1994") shall consist of:</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(a)    the provisions in the General Agreement on Tariffs and Trade, dated 30 October 1947, annexed to the Final Act Adopted at the Conclusion of the Second Session of the Preparatory Committee of the United Nations Conference on Trade and Employment (excluding the Protocol of Provisional Application), as rectified, amended or modified by the terms of legal instruments which have entered into force before the date of entry into force of the WTO Agreement;</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xml:space="preserve">    (b)    </w:t>
      </w:r>
      <w:proofErr w:type="gramStart"/>
      <w:r w:rsidRPr="000B0031">
        <w:rPr>
          <w:color w:val="222222"/>
        </w:rPr>
        <w:t>the</w:t>
      </w:r>
      <w:proofErr w:type="gramEnd"/>
      <w:r w:rsidRPr="000B0031">
        <w:rPr>
          <w:color w:val="222222"/>
        </w:rPr>
        <w:t xml:space="preserve"> provisions of the legal instruments set forth below that have entered into force under the GATT 1947 before the date of entry into force of the WTO Agreement: </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w:t>
      </w:r>
      <w:proofErr w:type="spellStart"/>
      <w:r w:rsidRPr="000B0031">
        <w:rPr>
          <w:color w:val="222222"/>
        </w:rPr>
        <w:t>i</w:t>
      </w:r>
      <w:proofErr w:type="spellEnd"/>
      <w:r w:rsidRPr="000B0031">
        <w:rPr>
          <w:color w:val="222222"/>
        </w:rPr>
        <w:t xml:space="preserve">)    </w:t>
      </w:r>
      <w:proofErr w:type="gramStart"/>
      <w:r w:rsidRPr="000B0031">
        <w:rPr>
          <w:color w:val="222222"/>
        </w:rPr>
        <w:t>protocols</w:t>
      </w:r>
      <w:proofErr w:type="gramEnd"/>
      <w:r w:rsidRPr="000B0031">
        <w:rPr>
          <w:color w:val="222222"/>
        </w:rPr>
        <w:t xml:space="preserve"> and certifications relating to tariff concessions;</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(ii)    protocols of accession (excluding the provisions (a) concerning provisional application and withdrawal of provisional application and (b) providing that Part II of GATT 1947 shall be applied provisionally to the fullest extent not inconsistent with legislation existing on the date of the Protocol);</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xml:space="preserve">(iii)    </w:t>
      </w:r>
      <w:proofErr w:type="gramStart"/>
      <w:r w:rsidRPr="000B0031">
        <w:rPr>
          <w:color w:val="222222"/>
        </w:rPr>
        <w:t>decisions</w:t>
      </w:r>
      <w:proofErr w:type="gramEnd"/>
      <w:r w:rsidRPr="000B0031">
        <w:rPr>
          <w:color w:val="222222"/>
        </w:rPr>
        <w:t xml:space="preserve"> on waivers granted under Article XXV of GATT 1947 and still in force on the date of entry into force of the WTO Agreement ;</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xml:space="preserve">(iv)    </w:t>
      </w:r>
      <w:proofErr w:type="gramStart"/>
      <w:r w:rsidRPr="000B0031">
        <w:rPr>
          <w:color w:val="222222"/>
        </w:rPr>
        <w:t>other</w:t>
      </w:r>
      <w:proofErr w:type="gramEnd"/>
      <w:r w:rsidRPr="000B0031">
        <w:rPr>
          <w:color w:val="222222"/>
        </w:rPr>
        <w:t xml:space="preserve"> decisions of the CONTRACTING PARTIES to GATT 1947;</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xml:space="preserve">(c)    </w:t>
      </w:r>
      <w:proofErr w:type="gramStart"/>
      <w:r w:rsidRPr="000B0031">
        <w:rPr>
          <w:color w:val="222222"/>
        </w:rPr>
        <w:t>the</w:t>
      </w:r>
      <w:proofErr w:type="gramEnd"/>
      <w:r w:rsidRPr="000B0031">
        <w:rPr>
          <w:color w:val="222222"/>
        </w:rPr>
        <w:t xml:space="preserve"> Understandings set forth below:</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w:t>
      </w:r>
      <w:proofErr w:type="spellStart"/>
      <w:r w:rsidRPr="000B0031">
        <w:rPr>
          <w:color w:val="222222"/>
        </w:rPr>
        <w:t>i</w:t>
      </w:r>
      <w:proofErr w:type="spellEnd"/>
      <w:r w:rsidRPr="000B0031">
        <w:rPr>
          <w:color w:val="222222"/>
        </w:rPr>
        <w:t>)    Understanding on the Interpretation of Article II</w:t>
      </w:r>
      <w:proofErr w:type="gramStart"/>
      <w:r w:rsidRPr="000B0031">
        <w:rPr>
          <w:color w:val="222222"/>
        </w:rPr>
        <w:t>:1</w:t>
      </w:r>
      <w:proofErr w:type="gramEnd"/>
      <w:r w:rsidRPr="000B0031">
        <w:rPr>
          <w:color w:val="222222"/>
        </w:rPr>
        <w:t>(b) of the General Agreement on Tariffs and Trade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(ii)    Understanding on the Interpretation of Article XVII of the General Agreement on Tariffs and Trade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(iii)    Understanding on Balance-of-Payments Provisions of the General Agreement on Tariffs and Trade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proofErr w:type="gramStart"/>
      <w:r w:rsidRPr="000B0031">
        <w:rPr>
          <w:color w:val="222222"/>
        </w:rPr>
        <w:t>(iv)    Understanding</w:t>
      </w:r>
      <w:proofErr w:type="gramEnd"/>
      <w:r w:rsidRPr="000B0031">
        <w:rPr>
          <w:color w:val="222222"/>
        </w:rPr>
        <w:t xml:space="preserve"> on the Interpretation of Article XXIV of the General Agreement on Tariffs and Trade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(v)    Understanding in Respect of Waivers of Obligations under the General Agreement on Tariffs and Trade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lastRenderedPageBreak/>
        <w:t>(vi)    Understanding on the Interpretation of Article XXVIII of the General Agreement on Tariffs and Trade 1994;</w:t>
      </w:r>
      <w:proofErr w:type="gramStart"/>
      <w:r w:rsidRPr="000B0031">
        <w:rPr>
          <w:color w:val="222222"/>
        </w:rPr>
        <w:t>  and</w:t>
      </w:r>
      <w:proofErr w:type="gramEnd"/>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xml:space="preserve">(d)    </w:t>
      </w:r>
      <w:proofErr w:type="gramStart"/>
      <w:r w:rsidRPr="000B0031">
        <w:rPr>
          <w:color w:val="222222"/>
        </w:rPr>
        <w:t>the</w:t>
      </w:r>
      <w:proofErr w:type="gramEnd"/>
      <w:r w:rsidRPr="000B0031">
        <w:rPr>
          <w:color w:val="222222"/>
        </w:rPr>
        <w:t xml:space="preserve"> Marrakesh Protocol to GATT 1994.</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rStyle w:val="Strong"/>
          <w:color w:val="222222"/>
        </w:rPr>
        <w:t>2.    Explanatory Notes</w:t>
      </w:r>
      <w:r w:rsidRPr="000B0031">
        <w:rPr>
          <w:b/>
          <w:bCs/>
          <w:color w:val="222222"/>
        </w:rPr>
        <w:br/>
      </w:r>
      <w:r w:rsidRPr="000B0031">
        <w:rPr>
          <w:color w:val="222222"/>
        </w:rPr>
        <w:br/>
        <w:t>    (a)    The references to "contracting party" in the provisions of GATT 1994 shall be deemed to read "Member".  The references to "less-developed contracting party" and "developed contracting party" shall be deemed to read "developing country Member" and "developed country Member".  The references to "Executive Secretary" shall be deemed to read "Director-General of the WTO".</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(b)    The references to the CONTRACTING PARTIES acting jointly in Articles XV:1, XV:2, XV:8, XXXVIII and the Notes Ad Article XII and XVIII;  and in the provisions on special exchange agreements in Articles XV:2, XV:3, XV:6, XV:7 and XV:9 of GATT 1994 shall be deemed to be references to the WTO.  The other functions that the provisions of GATT 1994 assign to the CONTRACTING PARTIES acting jointly shall be allocated by the Ministerial Conference.</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(c)    (</w:t>
      </w:r>
      <w:proofErr w:type="spellStart"/>
      <w:proofErr w:type="gramStart"/>
      <w:r w:rsidRPr="000B0031">
        <w:rPr>
          <w:color w:val="222222"/>
        </w:rPr>
        <w:t>i</w:t>
      </w:r>
      <w:proofErr w:type="spellEnd"/>
      <w:proofErr w:type="gramEnd"/>
      <w:r w:rsidRPr="000B0031">
        <w:rPr>
          <w:color w:val="222222"/>
        </w:rPr>
        <w:t>)    The text of GATT 1994 shall be authentic in English, French and Spanish.</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(ii)    The text of GATT 1994 in the French language shall be subject to the rectifications of terms indicated in Annex A to document MTN.TNC/41.</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(iii)    The authentic text of GATT 1994 in the Spanish language shall be the text in Volume IV of the Basic Instruments and Selected Documents series, subject to the rectifications of terms indicated in Annex B to document MTN.TNC/41.</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3.    (a)    The provisions of Part II of GATT 1994 shall not apply to measures taken by a Member under specific mandatory legislation, enacted by that Member before it became a contracting party to GATT 1947, that prohibits the use, sale or lease of foreign-built or foreign-reconstructed vessels in commercial applications between points in national waters or the waters of an exclusive economic zone.  This exemption applies to:  (a) the continuation or prompt renewal of a non-conforming provision of such legislation;  and (b) the amendment to a non-conforming provision of such legislation to the extent that the amendment does not decrease the conformity of the provision with Part II of GATT 1947.  This exemption is limited to measures taken under legislation described above that is notified and specified prior to the date of entry into force of the WTO Agreement.  If such legislation is subsequently modified to decrease its conformity with Part II of GATT 1994, it will no longer qualify for coverage under this paragraph. </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lastRenderedPageBreak/>
        <w:t>    (b)    The Ministerial Conference shall review this exemption not later than five years after the date of entry into force of the WTO Agreement and thereafter every two years for as long as the exemption is in force for the purpose of examining whether the conditions which created the need for the exemption still prevail.</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(c)    A Member whose measures are covered by this exemption shall annually submit a detailed statistical notification consisting of a five-year moving average of actual and expected deliveries of relevant vessels as well as additional information on the use, sale, lease or repair of relevant vessels covered by this exemption.</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(d)    A Member that considers that this exemption operates in such a manner as to justify a reciprocal and proportionate limitation on the use, sale, lease or repair of vessels constructed in the territory of the Member invoking the exemption shall be free to introduce such a limitation subject to prior notification to the Ministerial Conference.</w:t>
      </w:r>
    </w:p>
    <w:p w:rsidR="000B0031" w:rsidRPr="000B0031" w:rsidRDefault="000B0031" w:rsidP="000B0031">
      <w:pPr>
        <w:pStyle w:val="NormalWeb"/>
        <w:shd w:val="clear" w:color="auto" w:fill="FFFFFF"/>
        <w:spacing w:before="0" w:beforeAutospacing="0" w:after="240" w:afterAutospacing="0" w:line="330" w:lineRule="atLeast"/>
        <w:jc w:val="both"/>
        <w:textAlignment w:val="baseline"/>
        <w:rPr>
          <w:color w:val="222222"/>
        </w:rPr>
      </w:pPr>
      <w:r w:rsidRPr="000B0031">
        <w:rPr>
          <w:color w:val="222222"/>
        </w:rPr>
        <w:t xml:space="preserve">    (e)    This exemption is without prejudice to solutions concerning specific aspects of the legislation covered by this exemption negotiated in </w:t>
      </w:r>
      <w:proofErr w:type="spellStart"/>
      <w:r w:rsidRPr="000B0031">
        <w:rPr>
          <w:color w:val="222222"/>
        </w:rPr>
        <w:t>sectoral</w:t>
      </w:r>
      <w:proofErr w:type="spellEnd"/>
      <w:r w:rsidRPr="000B0031">
        <w:rPr>
          <w:color w:val="222222"/>
        </w:rPr>
        <w:t xml:space="preserve"> agreements or in other </w:t>
      </w:r>
      <w:proofErr w:type="spellStart"/>
      <w:r w:rsidRPr="000B0031">
        <w:rPr>
          <w:color w:val="222222"/>
        </w:rPr>
        <w:t>fora</w:t>
      </w:r>
      <w:proofErr w:type="spellEnd"/>
      <w:r w:rsidRPr="000B0031">
        <w:rPr>
          <w:color w:val="222222"/>
        </w:rPr>
        <w:t>.</w:t>
      </w:r>
    </w:p>
    <w:p w:rsidR="00DA089C" w:rsidRPr="000B0031" w:rsidRDefault="00DA089C">
      <w:pPr>
        <w:rPr>
          <w:rFonts w:ascii="Times New Roman" w:hAnsi="Times New Roman" w:cs="Times New Roman"/>
          <w:sz w:val="24"/>
          <w:szCs w:val="24"/>
        </w:rPr>
      </w:pPr>
    </w:p>
    <w:sectPr w:rsidR="00DA089C" w:rsidRPr="000B0031" w:rsidSect="00DA0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031"/>
    <w:rsid w:val="000B0031"/>
    <w:rsid w:val="00DA0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0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031"/>
    <w:rPr>
      <w:b/>
      <w:bCs/>
    </w:rPr>
  </w:style>
</w:styles>
</file>

<file path=word/webSettings.xml><?xml version="1.0" encoding="utf-8"?>
<w:webSettings xmlns:r="http://schemas.openxmlformats.org/officeDocument/2006/relationships" xmlns:w="http://schemas.openxmlformats.org/wordprocessingml/2006/main">
  <w:divs>
    <w:div w:id="1177229091">
      <w:bodyDiv w:val="1"/>
      <w:marLeft w:val="0"/>
      <w:marRight w:val="0"/>
      <w:marTop w:val="0"/>
      <w:marBottom w:val="0"/>
      <w:divBdr>
        <w:top w:val="none" w:sz="0" w:space="0" w:color="auto"/>
        <w:left w:val="none" w:sz="0" w:space="0" w:color="auto"/>
        <w:bottom w:val="none" w:sz="0" w:space="0" w:color="auto"/>
        <w:right w:val="none" w:sz="0" w:space="0" w:color="auto"/>
      </w:divBdr>
      <w:divsChild>
        <w:div w:id="1896551420">
          <w:marLeft w:val="0"/>
          <w:marRight w:val="0"/>
          <w:marTop w:val="0"/>
          <w:marBottom w:val="0"/>
          <w:divBdr>
            <w:top w:val="none" w:sz="0" w:space="0" w:color="auto"/>
            <w:left w:val="none" w:sz="0" w:space="0" w:color="auto"/>
            <w:bottom w:val="none" w:sz="0" w:space="0" w:color="auto"/>
            <w:right w:val="none" w:sz="0" w:space="0" w:color="auto"/>
          </w:divBdr>
          <w:divsChild>
            <w:div w:id="435294559">
              <w:marLeft w:val="0"/>
              <w:marRight w:val="0"/>
              <w:marTop w:val="0"/>
              <w:marBottom w:val="0"/>
              <w:divBdr>
                <w:top w:val="none" w:sz="0" w:space="0" w:color="auto"/>
                <w:left w:val="none" w:sz="0" w:space="0" w:color="auto"/>
                <w:bottom w:val="none" w:sz="0" w:space="0" w:color="auto"/>
                <w:right w:val="none" w:sz="0" w:space="0" w:color="auto"/>
              </w:divBdr>
              <w:divsChild>
                <w:div w:id="20404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Company>DT:77.22.99</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 VIEN MAY TINH</dc:creator>
  <cp:keywords/>
  <dc:description/>
  <cp:lastModifiedBy>BENH VIEN MAY TINH</cp:lastModifiedBy>
  <cp:revision>1</cp:revision>
  <dcterms:created xsi:type="dcterms:W3CDTF">2014-11-13T06:15:00Z</dcterms:created>
  <dcterms:modified xsi:type="dcterms:W3CDTF">2014-11-13T06:16:00Z</dcterms:modified>
</cp:coreProperties>
</file>